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901" w:rsidRPr="00B0766B" w:rsidRDefault="00C85901" w:rsidP="00C85901">
      <w:pPr>
        <w:jc w:val="center"/>
        <w:rPr>
          <w:rFonts w:ascii="Century" w:eastAsia="ＭＳ 明朝" w:hAnsi="Century" w:cs="Times New Roman"/>
        </w:rPr>
      </w:pPr>
      <w:r w:rsidRPr="00B0766B">
        <w:rPr>
          <w:rFonts w:ascii="Century" w:eastAsia="ＭＳ 明朝" w:hAnsi="Century" w:cs="Times New Roman" w:hint="eastAsia"/>
        </w:rPr>
        <w:t xml:space="preserve">ほぼ週刊コラム　</w:t>
      </w:r>
      <w:r w:rsidRPr="00B0766B">
        <w:rPr>
          <w:rFonts w:ascii="Century" w:eastAsia="ＭＳ 明朝" w:hAnsi="Century" w:cs="Times New Roman"/>
        </w:rPr>
        <w:t>Partnership</w:t>
      </w:r>
      <w:r w:rsidRPr="00B0766B">
        <w:rPr>
          <w:rFonts w:ascii="Century" w:eastAsia="ＭＳ 明朝" w:hAnsi="Century" w:cs="Times New Roman" w:hint="eastAsia"/>
        </w:rPr>
        <w:t>論　その１</w:t>
      </w:r>
      <w:r>
        <w:rPr>
          <w:rFonts w:ascii="Century" w:eastAsia="ＭＳ 明朝" w:hAnsi="Century" w:cs="Times New Roman" w:hint="eastAsia"/>
        </w:rPr>
        <w:t>７</w:t>
      </w:r>
      <w:r>
        <w:rPr>
          <w:rFonts w:ascii="Century" w:eastAsia="ＭＳ 明朝" w:hAnsi="Century" w:cs="Times New Roman" w:hint="eastAsia"/>
        </w:rPr>
        <w:t>１</w:t>
      </w:r>
    </w:p>
    <w:p w:rsidR="00C85901" w:rsidRPr="00B0766B" w:rsidRDefault="00C85901" w:rsidP="00C85901">
      <w:pPr>
        <w:jc w:val="center"/>
        <w:rPr>
          <w:rFonts w:ascii="Century" w:eastAsia="ＭＳ 明朝" w:hAnsi="Century" w:cs="Times New Roman"/>
          <w:b/>
        </w:rPr>
      </w:pPr>
      <w:r w:rsidRPr="00B0766B">
        <w:rPr>
          <w:rFonts w:ascii="Century" w:eastAsia="ＭＳ 明朝" w:hAnsi="Century" w:cs="Times New Roman" w:hint="eastAsia"/>
          <w:b/>
        </w:rPr>
        <w:t>シリーズ：『米国</w:t>
      </w:r>
      <w:r w:rsidRPr="00B0766B">
        <w:rPr>
          <w:rFonts w:ascii="Century" w:eastAsia="ＭＳ 明朝" w:hAnsi="Century" w:cs="Times New Roman"/>
          <w:b/>
        </w:rPr>
        <w:t>Partnership</w:t>
      </w:r>
      <w:r w:rsidRPr="00B0766B">
        <w:rPr>
          <w:rFonts w:ascii="Century" w:eastAsia="ＭＳ 明朝" w:hAnsi="Century" w:cs="Times New Roman" w:hint="eastAsia"/>
          <w:b/>
        </w:rPr>
        <w:t>税制勉強会』の振り返りと準備</w:t>
      </w:r>
    </w:p>
    <w:p w:rsidR="00C85901" w:rsidRPr="00B0766B" w:rsidRDefault="00C85901" w:rsidP="00C85901">
      <w:pPr>
        <w:jc w:val="center"/>
        <w:rPr>
          <w:rFonts w:ascii="Century" w:eastAsia="ＭＳ 明朝" w:hAnsi="Century" w:cs="Times New Roman"/>
          <w:b/>
        </w:rPr>
      </w:pPr>
      <w:r w:rsidRPr="00B0766B">
        <w:rPr>
          <w:rFonts w:ascii="Century" w:eastAsia="ＭＳ 明朝" w:hAnsi="Century" w:cs="Times New Roman" w:hint="eastAsia"/>
          <w:b/>
        </w:rPr>
        <w:t>第十</w:t>
      </w:r>
      <w:r w:rsidR="00E16FA3">
        <w:rPr>
          <w:rFonts w:ascii="Century" w:eastAsia="ＭＳ 明朝" w:hAnsi="Century" w:cs="Times New Roman" w:hint="eastAsia"/>
          <w:b/>
        </w:rPr>
        <w:t>九</w:t>
      </w:r>
      <w:r w:rsidRPr="00B0766B">
        <w:rPr>
          <w:rFonts w:ascii="Century" w:eastAsia="ＭＳ 明朝" w:hAnsi="Century" w:cs="Times New Roman" w:hint="eastAsia"/>
          <w:b/>
        </w:rPr>
        <w:t>回勉強会（</w:t>
      </w:r>
      <w:hyperlink r:id="rId8" w:history="1">
        <w:r w:rsidRPr="00B0766B">
          <w:rPr>
            <w:rFonts w:ascii="Century" w:eastAsia="ＭＳ 明朝" w:hAnsi="Century" w:cs="Times New Roman" w:hint="eastAsia"/>
            <w:b/>
            <w:color w:val="0000FF"/>
            <w:u w:val="single"/>
          </w:rPr>
          <w:t>年表</w:t>
        </w:r>
      </w:hyperlink>
      <w:r w:rsidRPr="00B0766B">
        <w:rPr>
          <w:rFonts w:ascii="Century" w:eastAsia="ＭＳ 明朝" w:hAnsi="Century" w:cs="Times New Roman" w:hint="eastAsia"/>
          <w:b/>
        </w:rPr>
        <w:t>項目</w:t>
      </w:r>
      <w:r w:rsidRPr="00B0766B">
        <w:rPr>
          <w:rFonts w:ascii="Century" w:eastAsia="ＭＳ 明朝" w:hAnsi="Century" w:cs="Times New Roman"/>
          <w:b/>
        </w:rPr>
        <w:t>1</w:t>
      </w:r>
      <w:r w:rsidR="00E16FA3">
        <w:rPr>
          <w:rFonts w:ascii="Century" w:eastAsia="ＭＳ 明朝" w:hAnsi="Century" w:cs="Times New Roman"/>
          <w:b/>
        </w:rPr>
        <w:t>2</w:t>
      </w:r>
      <w:r w:rsidRPr="00B0766B">
        <w:rPr>
          <w:rFonts w:ascii="Century" w:eastAsia="ＭＳ 明朝" w:hAnsi="Century" w:cs="Times New Roman" w:hint="eastAsia"/>
          <w:b/>
        </w:rPr>
        <w:t>：</w:t>
      </w:r>
      <w:r w:rsidR="00E16FA3">
        <w:rPr>
          <w:rFonts w:ascii="Century" w:eastAsia="ＭＳ 明朝" w:hAnsi="Century" w:cs="Times New Roman" w:hint="eastAsia"/>
          <w:b/>
        </w:rPr>
        <w:t>the economic substance doctrine</w:t>
      </w:r>
      <w:r w:rsidR="00E16FA3">
        <w:rPr>
          <w:rFonts w:ascii="Century" w:eastAsia="ＭＳ 明朝" w:hAnsi="Century" w:cs="Times New Roman" w:hint="eastAsia"/>
          <w:b/>
        </w:rPr>
        <w:t>の</w:t>
      </w:r>
      <w:r w:rsidR="00E16FA3">
        <w:rPr>
          <w:rFonts w:ascii="Century" w:eastAsia="ＭＳ 明朝" w:hAnsi="Century" w:cs="Times New Roman" w:hint="eastAsia"/>
          <w:b/>
        </w:rPr>
        <w:t>codify</w:t>
      </w:r>
      <w:r w:rsidRPr="00B0766B">
        <w:rPr>
          <w:rFonts w:ascii="Century" w:eastAsia="ＭＳ 明朝" w:hAnsi="Century" w:cs="Times New Roman" w:hint="eastAsia"/>
          <w:b/>
        </w:rPr>
        <w:t>）の準備（</w:t>
      </w:r>
      <w:r w:rsidR="00E16FA3">
        <w:rPr>
          <w:rFonts w:ascii="Century" w:eastAsia="ＭＳ 明朝" w:hAnsi="Century" w:cs="Times New Roman" w:hint="eastAsia"/>
          <w:b/>
        </w:rPr>
        <w:t>１</w:t>
      </w:r>
      <w:r w:rsidRPr="00B0766B">
        <w:rPr>
          <w:rFonts w:ascii="Century" w:eastAsia="ＭＳ 明朝" w:hAnsi="Century" w:cs="Times New Roman" w:hint="eastAsia"/>
          <w:b/>
        </w:rPr>
        <w:t>）：</w:t>
      </w:r>
    </w:p>
    <w:p w:rsidR="00C85901" w:rsidRPr="00B0766B" w:rsidRDefault="00C85901" w:rsidP="00C85901">
      <w:pPr>
        <w:jc w:val="center"/>
        <w:rPr>
          <w:rFonts w:ascii="Century" w:eastAsia="ＭＳ 明朝" w:hAnsi="Century" w:cs="Times New Roman"/>
          <w:b/>
        </w:rPr>
      </w:pPr>
    </w:p>
    <w:p w:rsidR="00C85901" w:rsidRPr="00B0766B" w:rsidRDefault="00E16FA3" w:rsidP="00C85901">
      <w:pPr>
        <w:tabs>
          <w:tab w:val="center" w:pos="4252"/>
          <w:tab w:val="right" w:pos="8504"/>
        </w:tabs>
        <w:snapToGrid w:val="0"/>
        <w:jc w:val="center"/>
        <w:rPr>
          <w:rFonts w:ascii="Century" w:eastAsia="ＭＳ 明朝" w:hAnsi="Century" w:cs="Times New Roman"/>
          <w:b/>
        </w:rPr>
      </w:pPr>
      <w:r>
        <w:rPr>
          <w:rFonts w:ascii="Century" w:eastAsia="ＭＳ 明朝" w:hAnsi="Century" w:cs="Times New Roman"/>
          <w:b/>
        </w:rPr>
        <w:t>民主主義や主権者を論じるときの</w:t>
      </w:r>
      <w:r>
        <w:rPr>
          <w:rFonts w:ascii="Century" w:eastAsia="ＭＳ 明朝" w:hAnsi="Century" w:cs="Times New Roman"/>
          <w:b/>
        </w:rPr>
        <w:t>people</w:t>
      </w:r>
      <w:r>
        <w:rPr>
          <w:rFonts w:ascii="Century" w:eastAsia="ＭＳ 明朝" w:hAnsi="Century" w:cs="Times New Roman"/>
          <w:b/>
        </w:rPr>
        <w:t>には</w:t>
      </w:r>
      <w:r w:rsidR="00CA764D">
        <w:rPr>
          <w:rFonts w:ascii="Century" w:eastAsia="ＭＳ 明朝" w:hAnsi="Century" w:cs="Times New Roman"/>
          <w:b/>
        </w:rPr>
        <w:t>、</w:t>
      </w:r>
      <w:r>
        <w:rPr>
          <w:rFonts w:ascii="Century" w:eastAsia="ＭＳ 明朝" w:hAnsi="Century" w:cs="Times New Roman"/>
          <w:b/>
        </w:rPr>
        <w:t>なぜ必ず</w:t>
      </w:r>
      <w:r>
        <w:rPr>
          <w:rFonts w:ascii="Century" w:eastAsia="ＭＳ 明朝" w:hAnsi="Century" w:cs="Times New Roman"/>
          <w:b/>
        </w:rPr>
        <w:t>the</w:t>
      </w:r>
      <w:r>
        <w:rPr>
          <w:rFonts w:ascii="Century" w:eastAsia="ＭＳ 明朝" w:hAnsi="Century" w:cs="Times New Roman"/>
          <w:b/>
        </w:rPr>
        <w:t>がつくのか？</w:t>
      </w:r>
    </w:p>
    <w:p w:rsidR="00C85901" w:rsidRPr="00B0766B" w:rsidRDefault="00C85901" w:rsidP="00C85901">
      <w:pPr>
        <w:jc w:val="right"/>
        <w:rPr>
          <w:rFonts w:ascii="Century" w:eastAsia="ＭＳ 明朝" w:hAnsi="Century" w:cs="Times New Roman"/>
        </w:rPr>
      </w:pPr>
      <w:r w:rsidRPr="00B0766B">
        <w:rPr>
          <w:rFonts w:ascii="Century" w:eastAsia="ＭＳ 明朝" w:hAnsi="Century" w:cs="Times New Roman"/>
        </w:rPr>
        <w:t>201</w:t>
      </w:r>
      <w:r w:rsidR="00E16FA3">
        <w:rPr>
          <w:rFonts w:ascii="Century" w:eastAsia="ＭＳ 明朝" w:hAnsi="Century" w:cs="Times New Roman"/>
        </w:rPr>
        <w:t>60108</w:t>
      </w:r>
      <w:r w:rsidRPr="00B0766B">
        <w:rPr>
          <w:rFonts w:ascii="Century" w:eastAsia="ＭＳ 明朝" w:hAnsi="Century" w:cs="Times New Roman"/>
        </w:rPr>
        <w:t xml:space="preserve">　</w:t>
      </w:r>
      <w:r w:rsidRPr="00B0766B">
        <w:rPr>
          <w:rFonts w:ascii="Century" w:eastAsia="ＭＳ 明朝" w:hAnsi="Century" w:cs="Times New Roman"/>
        </w:rPr>
        <w:t>rev.1</w:t>
      </w:r>
      <w:r w:rsidRPr="00B0766B">
        <w:rPr>
          <w:rFonts w:ascii="Century" w:eastAsia="ＭＳ 明朝" w:hAnsi="Century" w:cs="Times New Roman"/>
        </w:rPr>
        <w:t xml:space="preserve">　齋藤旬</w:t>
      </w:r>
    </w:p>
    <w:p w:rsidR="00C85901" w:rsidRPr="00B0766B" w:rsidRDefault="00C85901" w:rsidP="00C85901">
      <w:pPr>
        <w:rPr>
          <w:rFonts w:ascii="Century" w:eastAsia="ＭＳ 明朝" w:hAnsi="Century" w:cs="Times New Roman"/>
        </w:rPr>
      </w:pPr>
    </w:p>
    <w:p w:rsidR="009274E4" w:rsidRDefault="00C85901" w:rsidP="00C85901">
      <w:pPr>
        <w:rPr>
          <w:rFonts w:ascii="Century" w:eastAsia="ＭＳ 明朝" w:hAnsi="Century" w:cs="Times New Roman" w:hint="eastAsia"/>
        </w:rPr>
      </w:pPr>
      <w:r w:rsidRPr="00686467">
        <w:rPr>
          <w:rFonts w:ascii="Century" w:eastAsia="ＭＳ 明朝" w:hAnsi="Century" w:cs="Times New Roman"/>
          <w:b/>
        </w:rPr>
        <w:t xml:space="preserve">　</w:t>
      </w:r>
      <w:r w:rsidR="00E16FA3">
        <w:rPr>
          <w:rFonts w:ascii="Century" w:eastAsia="ＭＳ 明朝" w:hAnsi="Century" w:cs="Times New Roman"/>
          <w:b/>
        </w:rPr>
        <w:t>Free will</w:t>
      </w:r>
      <w:r w:rsidR="00E16FA3">
        <w:rPr>
          <w:rFonts w:ascii="Century" w:eastAsia="ＭＳ 明朝" w:hAnsi="Century" w:cs="Times New Roman"/>
          <w:b/>
        </w:rPr>
        <w:t>とは</w:t>
      </w:r>
      <w:r w:rsidR="00573F3C">
        <w:rPr>
          <w:rFonts w:ascii="Century" w:eastAsia="ＭＳ 明朝" w:hAnsi="Century" w:cs="Times New Roman"/>
          <w:b/>
        </w:rPr>
        <w:t xml:space="preserve">？　</w:t>
      </w:r>
      <w:r w:rsidR="00573F3C" w:rsidRPr="00573F3C">
        <w:rPr>
          <w:rFonts w:ascii="Century" w:eastAsia="ＭＳ 明朝" w:hAnsi="Century" w:cs="Times New Roman"/>
        </w:rPr>
        <w:t>正月休みに、時代小説文庫の</w:t>
      </w:r>
      <w:r w:rsidR="00573F3C">
        <w:rPr>
          <w:rFonts w:ascii="Century" w:eastAsia="ＭＳ 明朝" w:hAnsi="Century" w:cs="Times New Roman"/>
        </w:rPr>
        <w:t>白眉、</w:t>
      </w:r>
      <w:hyperlink r:id="rId9" w:history="1">
        <w:r w:rsidR="00573F3C" w:rsidRPr="0075423C">
          <w:rPr>
            <w:rStyle w:val="a3"/>
            <w:rFonts w:ascii="Century" w:eastAsia="ＭＳ 明朝" w:hAnsi="Century" w:cs="Times New Roman"/>
          </w:rPr>
          <w:t>佐伯泰英</w:t>
        </w:r>
        <w:r w:rsidR="00AE5B13" w:rsidRPr="00AE5B13">
          <w:rPr>
            <w:rStyle w:val="a3"/>
            <w:rFonts w:ascii="Century" w:eastAsia="ＭＳ 明朝" w:hAnsi="Century" w:cs="Times New Roman" w:hint="eastAsia"/>
          </w:rPr>
          <w:t>『居眠り磐音</w:t>
        </w:r>
        <w:r w:rsidR="00AE5B13" w:rsidRPr="00AE5B13">
          <w:rPr>
            <w:rStyle w:val="a3"/>
            <w:rFonts w:ascii="Century" w:eastAsia="ＭＳ 明朝" w:hAnsi="Century" w:cs="Times New Roman" w:hint="eastAsia"/>
          </w:rPr>
          <w:t>(</w:t>
        </w:r>
        <w:r w:rsidR="00AE5B13" w:rsidRPr="00AE5B13">
          <w:rPr>
            <w:rStyle w:val="a3"/>
            <w:rFonts w:ascii="Century" w:eastAsia="ＭＳ 明朝" w:hAnsi="Century" w:cs="Times New Roman" w:hint="eastAsia"/>
          </w:rPr>
          <w:t>いわね</w:t>
        </w:r>
        <w:r w:rsidR="00AE5B13" w:rsidRPr="00AE5B13">
          <w:rPr>
            <w:rStyle w:val="a3"/>
            <w:rFonts w:ascii="Century" w:eastAsia="ＭＳ 明朝" w:hAnsi="Century" w:cs="Times New Roman" w:hint="eastAsia"/>
          </w:rPr>
          <w:t xml:space="preserve">) </w:t>
        </w:r>
        <w:r w:rsidR="00AE5B13" w:rsidRPr="00AE5B13">
          <w:rPr>
            <w:rStyle w:val="a3"/>
            <w:rFonts w:ascii="Century" w:eastAsia="ＭＳ 明朝" w:hAnsi="Century" w:cs="Times New Roman" w:hint="eastAsia"/>
          </w:rPr>
          <w:t>江戸双紙</w:t>
        </w:r>
        <w:r w:rsidR="00AE5B13" w:rsidRPr="00AE5B13">
          <w:rPr>
            <w:rStyle w:val="a3"/>
            <w:rFonts w:ascii="Century" w:eastAsia="ＭＳ 明朝" w:hAnsi="Century" w:cs="Times New Roman" w:hint="eastAsia"/>
          </w:rPr>
          <w:t xml:space="preserve"> 50 </w:t>
        </w:r>
        <w:r w:rsidR="00AE5B13" w:rsidRPr="00AE5B13">
          <w:rPr>
            <w:rStyle w:val="a3"/>
            <w:rFonts w:ascii="Century" w:eastAsia="ＭＳ 明朝" w:hAnsi="Century" w:cs="Times New Roman" w:hint="eastAsia"/>
          </w:rPr>
          <w:t>竹屋ノ渡</w:t>
        </w:r>
        <w:r w:rsidR="00AE5B13" w:rsidRPr="00AE5B13">
          <w:rPr>
            <w:rStyle w:val="a3"/>
            <w:rFonts w:ascii="Century" w:eastAsia="ＭＳ 明朝" w:hAnsi="Century" w:cs="Times New Roman" w:hint="eastAsia"/>
          </w:rPr>
          <w:t>(</w:t>
        </w:r>
        <w:r w:rsidR="00AE5B13" w:rsidRPr="00AE5B13">
          <w:rPr>
            <w:rStyle w:val="a3"/>
            <w:rFonts w:ascii="Century" w:eastAsia="ＭＳ 明朝" w:hAnsi="Century" w:cs="Times New Roman" w:hint="eastAsia"/>
          </w:rPr>
          <w:t>わたし</w:t>
        </w:r>
        <w:r w:rsidR="00AE5B13" w:rsidRPr="00AE5B13">
          <w:rPr>
            <w:rStyle w:val="a3"/>
            <w:rFonts w:ascii="Century" w:eastAsia="ＭＳ 明朝" w:hAnsi="Century" w:cs="Times New Roman" w:hint="eastAsia"/>
          </w:rPr>
          <w:t>)</w:t>
        </w:r>
        <w:r w:rsidR="00AE5B13" w:rsidRPr="00AE5B13">
          <w:rPr>
            <w:rStyle w:val="a3"/>
            <w:rFonts w:ascii="Century" w:eastAsia="ＭＳ 明朝" w:hAnsi="Century" w:cs="Times New Roman" w:hint="eastAsia"/>
          </w:rPr>
          <w:t>』</w:t>
        </w:r>
      </w:hyperlink>
      <w:r w:rsidR="008F0CAA">
        <w:rPr>
          <w:rFonts w:ascii="Century" w:eastAsia="ＭＳ 明朝" w:hAnsi="Century" w:cs="Times New Roman"/>
        </w:rPr>
        <w:t>を読んでいてハッとした。徳川</w:t>
      </w:r>
      <w:r w:rsidR="00393BDC">
        <w:rPr>
          <w:rFonts w:ascii="Century" w:eastAsia="ＭＳ 明朝" w:hAnsi="Century" w:cs="Times New Roman"/>
        </w:rPr>
        <w:t>第十一</w:t>
      </w:r>
      <w:r w:rsidR="008F0CAA">
        <w:rPr>
          <w:rFonts w:ascii="Century" w:eastAsia="ＭＳ 明朝" w:hAnsi="Century" w:cs="Times New Roman"/>
        </w:rPr>
        <w:t>代将軍の家斉と主人公</w:t>
      </w:r>
      <w:r w:rsidR="00F578E3">
        <w:rPr>
          <w:rFonts w:ascii="Century" w:eastAsia="ＭＳ 明朝" w:hAnsi="Century" w:cs="Times New Roman"/>
        </w:rPr>
        <w:t>の</w:t>
      </w:r>
      <w:r w:rsidR="008F0CAA">
        <w:rPr>
          <w:rFonts w:ascii="Century" w:eastAsia="ＭＳ 明朝" w:hAnsi="Century" w:cs="Times New Roman"/>
        </w:rPr>
        <w:t>坂崎磐音との会話部分（</w:t>
      </w:r>
      <w:r w:rsidR="008F0CAA">
        <w:rPr>
          <w:rFonts w:ascii="Century" w:eastAsia="ＭＳ 明朝" w:hAnsi="Century" w:cs="Times New Roman"/>
        </w:rPr>
        <w:t>258</w:t>
      </w:r>
      <w:r w:rsidR="008F0CAA">
        <w:rPr>
          <w:rFonts w:ascii="Century" w:eastAsia="ＭＳ 明朝" w:hAnsi="Century" w:cs="Times New Roman"/>
        </w:rPr>
        <w:t>頁）：</w:t>
      </w:r>
    </w:p>
    <w:p w:rsidR="008F0CAA" w:rsidRDefault="008F0CAA" w:rsidP="00C85901">
      <w:pPr>
        <w:rPr>
          <w:rFonts w:ascii="Century" w:eastAsia="ＭＳ 明朝" w:hAnsi="Century" w:cs="Times New Roman" w:hint="eastAsia"/>
        </w:rPr>
      </w:pPr>
    </w:p>
    <w:p w:rsidR="008F0CAA" w:rsidRDefault="008F0CAA" w:rsidP="00C85901">
      <w:pPr>
        <w:rPr>
          <w:rFonts w:ascii="Century" w:eastAsia="ＭＳ 明朝" w:hAnsi="Century" w:cs="Times New Roman" w:hint="eastAsia"/>
        </w:rPr>
      </w:pPr>
      <w:r>
        <w:rPr>
          <w:rFonts w:ascii="Century" w:eastAsia="ＭＳ 明朝" w:hAnsi="Century" w:cs="Times New Roman" w:hint="eastAsia"/>
        </w:rPr>
        <w:t>徳川家斉：「坂崎磐音、運命には誰しも逆らえぬものか」</w:t>
      </w:r>
    </w:p>
    <w:p w:rsidR="008F0CAA" w:rsidRDefault="008F0CAA" w:rsidP="00B4196E">
      <w:pPr>
        <w:ind w:left="283" w:hangingChars="135" w:hanging="283"/>
        <w:rPr>
          <w:rFonts w:ascii="Century" w:eastAsia="ＭＳ 明朝" w:hAnsi="Century" w:cs="Times New Roman" w:hint="eastAsia"/>
        </w:rPr>
      </w:pPr>
      <w:r>
        <w:rPr>
          <w:rFonts w:ascii="Century" w:eastAsia="ＭＳ 明朝" w:hAnsi="Century" w:cs="Times New Roman" w:hint="eastAsia"/>
        </w:rPr>
        <w:t>坂崎磐音：「いえ、人の運命はその者の修行や考え、努力によって変ずることもございましょう。</w:t>
      </w:r>
      <w:r w:rsidR="00B4196E">
        <w:rPr>
          <w:rFonts w:ascii="Century" w:eastAsia="ＭＳ 明朝" w:hAnsi="Century" w:cs="Times New Roman" w:hint="eastAsia"/>
        </w:rPr>
        <w:t>われら剣術家も己の才なきことを嘆きつつも、修行することで変わりうるかと存じます」</w:t>
      </w:r>
    </w:p>
    <w:p w:rsidR="00B4196E" w:rsidRDefault="00B4196E" w:rsidP="00C85901">
      <w:pPr>
        <w:rPr>
          <w:rFonts w:ascii="Century" w:eastAsia="ＭＳ 明朝" w:hAnsi="Century" w:cs="Times New Roman" w:hint="eastAsia"/>
        </w:rPr>
      </w:pPr>
    </w:p>
    <w:p w:rsidR="00B4196E" w:rsidRDefault="00B4196E" w:rsidP="00B4196E">
      <w:pPr>
        <w:ind w:firstLineChars="100" w:firstLine="210"/>
        <w:rPr>
          <w:rFonts w:ascii="Century" w:eastAsia="ＭＳ 明朝" w:hAnsi="Century" w:cs="Times New Roman" w:hint="eastAsia"/>
        </w:rPr>
      </w:pPr>
      <w:r>
        <w:rPr>
          <w:rFonts w:ascii="Century" w:eastAsia="ＭＳ 明朝" w:hAnsi="Century" w:cs="Times New Roman" w:hint="eastAsia"/>
        </w:rPr>
        <w:t>･･･これを読んで得心した。</w:t>
      </w:r>
      <w:r w:rsidR="001C5199">
        <w:rPr>
          <w:rFonts w:ascii="Century" w:eastAsia="ＭＳ 明朝" w:hAnsi="Century" w:cs="Times New Roman" w:hint="eastAsia"/>
        </w:rPr>
        <w:t>そうか、</w:t>
      </w:r>
      <w:r>
        <w:rPr>
          <w:rFonts w:ascii="Century" w:eastAsia="ＭＳ 明朝" w:hAnsi="Century" w:cs="Times New Roman" w:hint="eastAsia"/>
        </w:rPr>
        <w:t>坂崎磐音も、</w:t>
      </w:r>
      <w:r w:rsidR="00265266">
        <w:rPr>
          <w:rFonts w:ascii="Century" w:eastAsia="ＭＳ 明朝" w:hAnsi="Century" w:cs="Times New Roman" w:hint="eastAsia"/>
        </w:rPr>
        <w:t>1</w:t>
      </w:r>
      <w:bookmarkStart w:id="0" w:name="_GoBack"/>
      <w:bookmarkEnd w:id="0"/>
      <w:r w:rsidR="00265266">
        <w:rPr>
          <w:rFonts w:ascii="Century" w:eastAsia="ＭＳ 明朝" w:hAnsi="Century" w:cs="Times New Roman" w:hint="eastAsia"/>
        </w:rPr>
        <w:t>524</w:t>
      </w:r>
      <w:r w:rsidR="00265266">
        <w:rPr>
          <w:rFonts w:ascii="Century" w:eastAsia="ＭＳ 明朝" w:hAnsi="Century" w:cs="Times New Roman" w:hint="eastAsia"/>
        </w:rPr>
        <w:t>年に『自由意思論』を著した</w:t>
      </w:r>
      <w:r>
        <w:rPr>
          <w:rFonts w:ascii="Century" w:eastAsia="ＭＳ 明朝" w:hAnsi="Century" w:cs="Times New Roman" w:hint="eastAsia"/>
        </w:rPr>
        <w:t>エラスムスや</w:t>
      </w:r>
      <w:r w:rsidR="00265266">
        <w:rPr>
          <w:rFonts w:ascii="Century" w:eastAsia="ＭＳ 明朝" w:hAnsi="Century" w:cs="Times New Roman" w:hint="eastAsia"/>
        </w:rPr>
        <w:t>1534</w:t>
      </w:r>
      <w:r w:rsidR="00265266">
        <w:rPr>
          <w:rFonts w:ascii="Century" w:eastAsia="ＭＳ 明朝" w:hAnsi="Century" w:cs="Times New Roman" w:hint="eastAsia"/>
        </w:rPr>
        <w:t>年設立の</w:t>
      </w:r>
      <w:r>
        <w:rPr>
          <w:rFonts w:ascii="Century" w:eastAsia="ＭＳ 明朝" w:hAnsi="Century" w:cs="Times New Roman" w:hint="eastAsia"/>
        </w:rPr>
        <w:t>イエズス会</w:t>
      </w:r>
      <w:r w:rsidR="00265266">
        <w:rPr>
          <w:rFonts w:ascii="Century" w:eastAsia="ＭＳ 明朝" w:hAnsi="Century" w:cs="Times New Roman" w:hint="eastAsia"/>
        </w:rPr>
        <w:t>の会</w:t>
      </w:r>
      <w:r>
        <w:rPr>
          <w:rFonts w:ascii="Century" w:eastAsia="ＭＳ 明朝" w:hAnsi="Century" w:cs="Times New Roman" w:hint="eastAsia"/>
        </w:rPr>
        <w:t>士</w:t>
      </w:r>
      <w:r w:rsidR="00265266">
        <w:rPr>
          <w:rFonts w:ascii="Century" w:eastAsia="ＭＳ 明朝" w:hAnsi="Century" w:cs="Times New Roman" w:hint="eastAsia"/>
        </w:rPr>
        <w:t>達と同じ、</w:t>
      </w:r>
      <w:r>
        <w:rPr>
          <w:rFonts w:ascii="Century" w:eastAsia="ＭＳ 明朝" w:hAnsi="Century" w:cs="Times New Roman" w:hint="eastAsia"/>
        </w:rPr>
        <w:t>free will</w:t>
      </w:r>
      <w:r>
        <w:rPr>
          <w:rFonts w:ascii="Century" w:eastAsia="ＭＳ 明朝" w:hAnsi="Century" w:cs="Times New Roman" w:hint="eastAsia"/>
        </w:rPr>
        <w:t>論者だと。</w:t>
      </w:r>
      <w:r w:rsidR="00F578E3">
        <w:rPr>
          <w:rFonts w:ascii="Century" w:eastAsia="ＭＳ 明朝" w:hAnsi="Century" w:cs="Times New Roman" w:hint="eastAsia"/>
        </w:rPr>
        <w:t>即ち、</w:t>
      </w:r>
      <w:r>
        <w:rPr>
          <w:rFonts w:ascii="Century" w:eastAsia="ＭＳ 明朝" w:hAnsi="Century" w:cs="Times New Roman" w:hint="eastAsia"/>
        </w:rPr>
        <w:t>予定説</w:t>
      </w:r>
      <w:r>
        <w:rPr>
          <w:rFonts w:ascii="Century" w:eastAsia="ＭＳ 明朝" w:hAnsi="Century" w:cs="Times New Roman" w:hint="eastAsia"/>
        </w:rPr>
        <w:t xml:space="preserve"> --- </w:t>
      </w:r>
      <w:r w:rsidR="00265266">
        <w:rPr>
          <w:rFonts w:ascii="Century" w:eastAsia="ＭＳ 明朝" w:hAnsi="Century" w:cs="Times New Roman" w:hint="eastAsia"/>
        </w:rPr>
        <w:t>最終的に誰が救済されるかは天地創造前に決定されているとする考え方</w:t>
      </w:r>
      <w:r w:rsidR="00265266">
        <w:rPr>
          <w:rFonts w:ascii="Century" w:eastAsia="ＭＳ 明朝" w:hAnsi="Century" w:cs="Times New Roman" w:hint="eastAsia"/>
        </w:rPr>
        <w:t xml:space="preserve"> --- </w:t>
      </w:r>
      <w:r w:rsidR="00265266">
        <w:rPr>
          <w:rFonts w:ascii="Century" w:eastAsia="ＭＳ 明朝" w:hAnsi="Century" w:cs="Times New Roman" w:hint="eastAsia"/>
        </w:rPr>
        <w:t>を始めたカル</w:t>
      </w:r>
      <w:r w:rsidR="00AE5B13">
        <w:rPr>
          <w:rFonts w:ascii="Century" w:eastAsia="ＭＳ 明朝" w:hAnsi="Century" w:cs="Times New Roman" w:hint="eastAsia"/>
        </w:rPr>
        <w:t>ヴァン</w:t>
      </w:r>
      <w:r w:rsidR="00265266">
        <w:rPr>
          <w:rFonts w:ascii="Century" w:eastAsia="ＭＳ 明朝" w:hAnsi="Century" w:cs="Times New Roman" w:hint="eastAsia"/>
        </w:rPr>
        <w:t>や</w:t>
      </w:r>
      <w:r w:rsidR="00265266">
        <w:rPr>
          <w:rFonts w:ascii="Century" w:eastAsia="ＭＳ 明朝" w:hAnsi="Century" w:cs="Times New Roman" w:hint="eastAsia"/>
        </w:rPr>
        <w:t>1525</w:t>
      </w:r>
      <w:r w:rsidR="00265266">
        <w:rPr>
          <w:rFonts w:ascii="Century" w:eastAsia="ＭＳ 明朝" w:hAnsi="Century" w:cs="Times New Roman" w:hint="eastAsia"/>
        </w:rPr>
        <w:t>年に『奴隷意思論』を著したルターとは異なる意見を坂崎磐音は持つのだと得心した。</w:t>
      </w:r>
    </w:p>
    <w:p w:rsidR="00265266" w:rsidRDefault="00265266" w:rsidP="00B4196E">
      <w:pPr>
        <w:ind w:firstLineChars="100" w:firstLine="210"/>
        <w:rPr>
          <w:rFonts w:ascii="Century" w:eastAsia="ＭＳ 明朝" w:hAnsi="Century" w:cs="Times New Roman" w:hint="eastAsia"/>
        </w:rPr>
      </w:pPr>
      <w:r>
        <w:rPr>
          <w:rFonts w:ascii="Century" w:eastAsia="ＭＳ 明朝" w:hAnsi="Century" w:cs="Times New Roman" w:hint="eastAsia"/>
        </w:rPr>
        <w:t>小説の中に</w:t>
      </w:r>
      <w:r w:rsidR="00F578E3">
        <w:rPr>
          <w:rFonts w:ascii="Century" w:eastAsia="ＭＳ 明朝" w:hAnsi="Century" w:cs="Times New Roman" w:hint="eastAsia"/>
        </w:rPr>
        <w:t>架空に存在する人物に共感しても、「だからどうよ」の話だが、</w:t>
      </w:r>
      <w:r w:rsidR="00B876D1">
        <w:rPr>
          <w:rFonts w:ascii="Century" w:eastAsia="ＭＳ 明朝" w:hAnsi="Century" w:cs="Times New Roman" w:hint="eastAsia"/>
        </w:rPr>
        <w:t>今年の</w:t>
      </w:r>
      <w:r w:rsidR="00F578E3">
        <w:rPr>
          <w:rFonts w:ascii="Century" w:eastAsia="ＭＳ 明朝" w:hAnsi="Century" w:cs="Times New Roman" w:hint="eastAsia"/>
        </w:rPr>
        <w:t>正月の雲一つない青空のように晴れ晴れとした気分に私はなった。</w:t>
      </w:r>
    </w:p>
    <w:p w:rsidR="00F578E3" w:rsidRDefault="00F578E3" w:rsidP="00B4196E">
      <w:pPr>
        <w:ind w:firstLineChars="100" w:firstLine="210"/>
        <w:rPr>
          <w:rFonts w:ascii="Century" w:eastAsia="ＭＳ 明朝" w:hAnsi="Century" w:cs="Times New Roman" w:hint="eastAsia"/>
        </w:rPr>
      </w:pPr>
    </w:p>
    <w:p w:rsidR="00F578E3" w:rsidRDefault="00F578E3" w:rsidP="00F578E3">
      <w:pPr>
        <w:ind w:firstLineChars="100" w:firstLine="211"/>
        <w:rPr>
          <w:rFonts w:hint="eastAsia"/>
        </w:rPr>
      </w:pPr>
      <w:r w:rsidRPr="00F578E3">
        <w:rPr>
          <w:b/>
        </w:rPr>
        <w:t>さて、明けましておめでとうございます。今年も宜しくお願いいたします</w:t>
      </w:r>
      <w:r>
        <w:t>。今日は年明け最初だし、小咄をもう一つだけしよう。それはタイトルの「</w:t>
      </w:r>
      <w:r w:rsidR="005410A9" w:rsidRPr="005410A9">
        <w:rPr>
          <w:rFonts w:hint="eastAsia"/>
        </w:rPr>
        <w:t>民主主義や主権者を論じるときの</w:t>
      </w:r>
      <w:r w:rsidR="00CA764D">
        <w:t>the people</w:t>
      </w:r>
      <w:r w:rsidR="00CA764D">
        <w:t>の</w:t>
      </w:r>
      <w:r w:rsidR="00CA764D">
        <w:t>the</w:t>
      </w:r>
      <w:r w:rsidR="00CA764D">
        <w:t>は何を意味するのか」、皆で考えてみようというものだ。</w:t>
      </w:r>
    </w:p>
    <w:p w:rsidR="00CA764D" w:rsidRDefault="00CA764D" w:rsidP="00CA764D">
      <w:pPr>
        <w:ind w:firstLineChars="100" w:firstLine="210"/>
        <w:rPr>
          <w:rFonts w:hint="eastAsia"/>
        </w:rPr>
      </w:pPr>
      <w:r>
        <w:rPr>
          <w:rFonts w:hint="eastAsia"/>
        </w:rPr>
        <w:t>そもそも</w:t>
      </w:r>
      <w:r>
        <w:rPr>
          <w:rFonts w:hint="eastAsia"/>
        </w:rPr>
        <w:t>person</w:t>
      </w:r>
      <w:r>
        <w:rPr>
          <w:rFonts w:hint="eastAsia"/>
        </w:rPr>
        <w:t>の複数形である</w:t>
      </w:r>
      <w:r>
        <w:rPr>
          <w:rFonts w:hint="eastAsia"/>
        </w:rPr>
        <w:t>people</w:t>
      </w:r>
      <w:r>
        <w:rPr>
          <w:rFonts w:hint="eastAsia"/>
        </w:rPr>
        <w:t>（人々）には</w:t>
      </w:r>
      <w:r>
        <w:rPr>
          <w:rFonts w:hint="eastAsia"/>
        </w:rPr>
        <w:t>the</w:t>
      </w:r>
      <w:r>
        <w:rPr>
          <w:rFonts w:hint="eastAsia"/>
        </w:rPr>
        <w:t>をつける必要はない。となるとここでの</w:t>
      </w:r>
      <w:r>
        <w:rPr>
          <w:rFonts w:hint="eastAsia"/>
        </w:rPr>
        <w:t>people</w:t>
      </w:r>
      <w:r>
        <w:rPr>
          <w:rFonts w:hint="eastAsia"/>
        </w:rPr>
        <w:t>は「人民、民族、或る</w:t>
      </w:r>
      <w:r>
        <w:rPr>
          <w:rFonts w:hint="eastAsia"/>
        </w:rPr>
        <w:t>nation</w:t>
      </w:r>
      <w:r>
        <w:rPr>
          <w:rFonts w:hint="eastAsia"/>
        </w:rPr>
        <w:t>などを構成する人々」といった意味で使われている</w:t>
      </w:r>
      <w:r w:rsidR="00B1431E">
        <w:rPr>
          <w:rFonts w:hint="eastAsia"/>
        </w:rPr>
        <w:t>ことになる</w:t>
      </w:r>
      <w:r>
        <w:rPr>
          <w:rFonts w:hint="eastAsia"/>
        </w:rPr>
        <w:t>。</w:t>
      </w:r>
    </w:p>
    <w:p w:rsidR="00CA764D" w:rsidRDefault="00CA764D" w:rsidP="00CA764D">
      <w:pPr>
        <w:ind w:firstLineChars="100" w:firstLine="210"/>
        <w:rPr>
          <w:rFonts w:hint="eastAsia"/>
        </w:rPr>
      </w:pPr>
      <w:r>
        <w:rPr>
          <w:rFonts w:hint="eastAsia"/>
        </w:rPr>
        <w:t>そして、</w:t>
      </w:r>
      <w:r w:rsidRPr="00CA764D">
        <w:rPr>
          <w:rFonts w:hint="eastAsia"/>
        </w:rPr>
        <w:t>民主主義や主権者を論じるときの</w:t>
      </w:r>
      <w:r w:rsidRPr="00CA764D">
        <w:rPr>
          <w:rFonts w:hint="eastAsia"/>
        </w:rPr>
        <w:t>people</w:t>
      </w:r>
      <w:r w:rsidRPr="00CA764D">
        <w:rPr>
          <w:rFonts w:hint="eastAsia"/>
        </w:rPr>
        <w:t>には</w:t>
      </w:r>
      <w:r>
        <w:rPr>
          <w:rFonts w:hint="eastAsia"/>
        </w:rPr>
        <w:t>、</w:t>
      </w:r>
      <w:r w:rsidRPr="00CA764D">
        <w:rPr>
          <w:rFonts w:hint="eastAsia"/>
        </w:rPr>
        <w:t>必ず</w:t>
      </w:r>
      <w:r w:rsidRPr="00CA764D">
        <w:rPr>
          <w:rFonts w:hint="eastAsia"/>
        </w:rPr>
        <w:t>the</w:t>
      </w:r>
      <w:r w:rsidRPr="00CA764D">
        <w:rPr>
          <w:rFonts w:hint="eastAsia"/>
        </w:rPr>
        <w:t>がつく</w:t>
      </w:r>
      <w:r>
        <w:rPr>
          <w:rFonts w:hint="eastAsia"/>
        </w:rPr>
        <w:t>。</w:t>
      </w:r>
      <w:r w:rsidR="00B1431E">
        <w:rPr>
          <w:rFonts w:hint="eastAsia"/>
        </w:rPr>
        <w:t>例えば、前々回</w:t>
      </w:r>
      <w:hyperlink r:id="rId10" w:history="1">
        <w:r w:rsidR="00B1431E" w:rsidRPr="00B1431E">
          <w:rPr>
            <w:rStyle w:val="a3"/>
            <w:rFonts w:hint="eastAsia"/>
          </w:rPr>
          <w:t>コラム１６９</w:t>
        </w:r>
      </w:hyperlink>
      <w:r w:rsidR="00B1431E">
        <w:rPr>
          <w:rFonts w:hint="eastAsia"/>
        </w:rPr>
        <w:t>『</w:t>
      </w:r>
      <w:r w:rsidR="00B1431E">
        <w:rPr>
          <w:rFonts w:ascii="Century" w:eastAsia="ＭＳ 明朝" w:hAnsi="Century" w:cs="Times New Roman"/>
          <w:b/>
        </w:rPr>
        <w:t>sovereign</w:t>
      </w:r>
      <w:r w:rsidR="00B1431E">
        <w:rPr>
          <w:rFonts w:ascii="Century" w:eastAsia="ＭＳ 明朝" w:hAnsi="Century" w:cs="Times New Roman"/>
          <w:b/>
        </w:rPr>
        <w:t>（主権者）の変遷：</w:t>
      </w:r>
      <w:hyperlink r:id="rId11" w:history="1">
        <w:r w:rsidR="00B1431E" w:rsidRPr="00AD4A80">
          <w:rPr>
            <w:rStyle w:val="a3"/>
            <w:rFonts w:ascii="Century" w:eastAsia="ＭＳ 明朝" w:hAnsi="Century" w:cs="Times New Roman"/>
            <w:b/>
          </w:rPr>
          <w:t>The Pope, the Kings and the People</w:t>
        </w:r>
      </w:hyperlink>
      <w:r w:rsidR="00B1431E">
        <w:rPr>
          <w:rFonts w:hint="eastAsia"/>
        </w:rPr>
        <w:t>』、</w:t>
      </w:r>
      <w:r w:rsidR="005410A9">
        <w:rPr>
          <w:rFonts w:hint="eastAsia"/>
        </w:rPr>
        <w:t>リンカーンの有名な「</w:t>
      </w:r>
      <w:r w:rsidR="005410A9">
        <w:rPr>
          <w:rFonts w:hint="eastAsia"/>
        </w:rPr>
        <w:t>of the people, by the people, and for the people</w:t>
      </w:r>
      <w:r w:rsidR="005410A9">
        <w:rPr>
          <w:rFonts w:hint="eastAsia"/>
        </w:rPr>
        <w:t>」、そして歴史学者エドムンド・モーガン（</w:t>
      </w:r>
      <w:r w:rsidR="005410A9">
        <w:rPr>
          <w:rFonts w:hint="eastAsia"/>
        </w:rPr>
        <w:t>1916-2013</w:t>
      </w:r>
      <w:r w:rsidR="005410A9">
        <w:rPr>
          <w:rFonts w:hint="eastAsia"/>
        </w:rPr>
        <w:t>）の主著『</w:t>
      </w:r>
      <w:hyperlink r:id="rId12" w:history="1">
        <w:r w:rsidR="005410A9" w:rsidRPr="005410A9">
          <w:rPr>
            <w:rStyle w:val="a3"/>
          </w:rPr>
          <w:t>Inventing the People: The Rise of Popular Sovereignty in England and America</w:t>
        </w:r>
      </w:hyperlink>
      <w:r w:rsidR="005410A9">
        <w:rPr>
          <w:rFonts w:hint="eastAsia"/>
        </w:rPr>
        <w:t>』</w:t>
      </w:r>
      <w:r w:rsidR="005410A9">
        <w:rPr>
          <w:rStyle w:val="a6"/>
        </w:rPr>
        <w:footnoteReference w:id="1"/>
      </w:r>
      <w:r w:rsidR="00E6466E">
        <w:rPr>
          <w:rFonts w:hint="eastAsia"/>
        </w:rPr>
        <w:t>など、必ず</w:t>
      </w:r>
      <w:r w:rsidR="00E6466E">
        <w:rPr>
          <w:rFonts w:hint="eastAsia"/>
        </w:rPr>
        <w:t>people</w:t>
      </w:r>
      <w:r w:rsidR="00E6466E">
        <w:rPr>
          <w:rFonts w:hint="eastAsia"/>
        </w:rPr>
        <w:t>の前に</w:t>
      </w:r>
      <w:r w:rsidR="00E6466E">
        <w:rPr>
          <w:rFonts w:hint="eastAsia"/>
        </w:rPr>
        <w:t>the</w:t>
      </w:r>
      <w:r w:rsidR="00E6466E">
        <w:rPr>
          <w:rFonts w:hint="eastAsia"/>
        </w:rPr>
        <w:t>がつく。</w:t>
      </w:r>
    </w:p>
    <w:p w:rsidR="00CA764D" w:rsidRDefault="00E6466E" w:rsidP="00CA764D">
      <w:pPr>
        <w:ind w:firstLineChars="100" w:firstLine="210"/>
        <w:rPr>
          <w:rFonts w:hint="eastAsia"/>
        </w:rPr>
      </w:pPr>
      <w:r>
        <w:rPr>
          <w:rFonts w:hint="eastAsia"/>
        </w:rPr>
        <w:lastRenderedPageBreak/>
        <w:t>こういう時の</w:t>
      </w:r>
      <w:r>
        <w:rPr>
          <w:rFonts w:hint="eastAsia"/>
        </w:rPr>
        <w:t>the</w:t>
      </w:r>
      <w:r>
        <w:rPr>
          <w:rFonts w:hint="eastAsia"/>
        </w:rPr>
        <w:t>には要注意だ。例えば、</w:t>
      </w:r>
      <w:r>
        <w:rPr>
          <w:rFonts w:hint="eastAsia"/>
        </w:rPr>
        <w:t>equity as between the partners</w:t>
      </w:r>
      <w:r>
        <w:rPr>
          <w:rFonts w:hint="eastAsia"/>
        </w:rPr>
        <w:t>の</w:t>
      </w:r>
      <w:r>
        <w:rPr>
          <w:rFonts w:hint="eastAsia"/>
        </w:rPr>
        <w:t>the</w:t>
      </w:r>
      <w:r>
        <w:rPr>
          <w:rFonts w:hint="eastAsia"/>
        </w:rPr>
        <w:t>は「当該</w:t>
      </w:r>
      <w:r>
        <w:rPr>
          <w:rFonts w:hint="eastAsia"/>
        </w:rPr>
        <w:t>partner</w:t>
      </w:r>
      <w:r>
        <w:rPr>
          <w:rFonts w:hint="eastAsia"/>
        </w:rPr>
        <w:t>達の間だけに成り立つ衡平」という</w:t>
      </w:r>
      <w:r w:rsidR="0075423C">
        <w:rPr>
          <w:rFonts w:hint="eastAsia"/>
        </w:rPr>
        <w:t>様</w:t>
      </w:r>
      <w:r>
        <w:rPr>
          <w:rFonts w:hint="eastAsia"/>
        </w:rPr>
        <w:t>に</w:t>
      </w:r>
      <w:r>
        <w:rPr>
          <w:rFonts w:hint="eastAsia"/>
        </w:rPr>
        <w:t>equity</w:t>
      </w:r>
      <w:r>
        <w:rPr>
          <w:rFonts w:hint="eastAsia"/>
        </w:rPr>
        <w:t>を限定しているし、『</w:t>
      </w:r>
      <w:hyperlink r:id="rId13" w:history="1">
        <w:r w:rsidRPr="0075423C">
          <w:rPr>
            <w:rStyle w:val="a3"/>
            <w:rFonts w:hint="eastAsia"/>
          </w:rPr>
          <w:t>The Poser of Religion in The Public Sphere</w:t>
        </w:r>
      </w:hyperlink>
      <w:r>
        <w:rPr>
          <w:rFonts w:hint="eastAsia"/>
        </w:rPr>
        <w:t>』や『</w:t>
      </w:r>
      <w:hyperlink r:id="rId14" w:history="1">
        <w:r w:rsidR="0075423C" w:rsidRPr="0075423C">
          <w:rPr>
            <w:rStyle w:val="a3"/>
          </w:rPr>
          <w:t>The Structural Transformation of the Public Sphere</w:t>
        </w:r>
      </w:hyperlink>
      <w:r w:rsidRPr="0075423C">
        <w:rPr>
          <w:rFonts w:hint="eastAsia"/>
        </w:rPr>
        <w:t>』</w:t>
      </w:r>
      <w:r w:rsidR="0075423C">
        <w:rPr>
          <w:rFonts w:hint="eastAsia"/>
        </w:rPr>
        <w:t>の</w:t>
      </w:r>
      <w:r w:rsidR="0075423C">
        <w:rPr>
          <w:rFonts w:hint="eastAsia"/>
        </w:rPr>
        <w:t>the public</w:t>
      </w:r>
      <w:r w:rsidR="0075423C">
        <w:rPr>
          <w:rFonts w:hint="eastAsia"/>
        </w:rPr>
        <w:t>は</w:t>
      </w:r>
      <w:r w:rsidR="00AE5B13">
        <w:rPr>
          <w:rFonts w:hint="eastAsia"/>
        </w:rPr>
        <w:t>、</w:t>
      </w:r>
      <w:r w:rsidR="0075423C">
        <w:rPr>
          <w:rFonts w:hint="eastAsia"/>
        </w:rPr>
        <w:t>the</w:t>
      </w:r>
      <w:r w:rsidR="0075423C">
        <w:rPr>
          <w:rFonts w:hint="eastAsia"/>
        </w:rPr>
        <w:t>のつかない</w:t>
      </w:r>
      <w:r w:rsidR="0075423C">
        <w:rPr>
          <w:rFonts w:hint="eastAsia"/>
        </w:rPr>
        <w:t>public</w:t>
      </w:r>
      <w:r w:rsidR="0075423C">
        <w:rPr>
          <w:rFonts w:hint="eastAsia"/>
        </w:rPr>
        <w:t>とは異なる意味を持つからだ。</w:t>
      </w:r>
      <w:r w:rsidR="00AE5B13">
        <w:rPr>
          <w:rFonts w:hint="eastAsia"/>
        </w:rPr>
        <w:t>（だから</w:t>
      </w:r>
      <w:r w:rsidR="00AE5B13">
        <w:rPr>
          <w:rFonts w:hint="eastAsia"/>
        </w:rPr>
        <w:t>the public sphere</w:t>
      </w:r>
      <w:r w:rsidR="00AE5B13">
        <w:rPr>
          <w:rFonts w:hint="eastAsia"/>
        </w:rPr>
        <w:t>の「公共圏」という和訳は適当ではない。）</w:t>
      </w:r>
    </w:p>
    <w:p w:rsidR="00CA764D" w:rsidRDefault="00CA764D" w:rsidP="00CA764D">
      <w:pPr>
        <w:ind w:firstLineChars="100" w:firstLine="210"/>
        <w:rPr>
          <w:rFonts w:hint="eastAsia"/>
        </w:rPr>
      </w:pPr>
      <w:r>
        <w:rPr>
          <w:rFonts w:hint="eastAsia"/>
        </w:rPr>
        <w:t>なにか</w:t>
      </w:r>
      <w:r w:rsidR="00B1431E">
        <w:rPr>
          <w:rFonts w:hint="eastAsia"/>
        </w:rPr>
        <w:t>特定の</w:t>
      </w:r>
      <w:r w:rsidR="00B1431E">
        <w:rPr>
          <w:rFonts w:hint="eastAsia"/>
        </w:rPr>
        <w:t>people</w:t>
      </w:r>
      <w:r w:rsidR="00B1431E">
        <w:rPr>
          <w:rFonts w:hint="eastAsia"/>
        </w:rPr>
        <w:t>だけに民主主義や主権が</w:t>
      </w:r>
      <w:r w:rsidR="0075423C">
        <w:rPr>
          <w:rFonts w:hint="eastAsia"/>
        </w:rPr>
        <w:t>許される、という意味を</w:t>
      </w:r>
      <w:r w:rsidR="0075423C">
        <w:rPr>
          <w:rFonts w:hint="eastAsia"/>
        </w:rPr>
        <w:t>the people</w:t>
      </w:r>
      <w:r w:rsidR="0075423C">
        <w:rPr>
          <w:rFonts w:hint="eastAsia"/>
        </w:rPr>
        <w:t>の</w:t>
      </w:r>
      <w:r w:rsidR="0075423C">
        <w:rPr>
          <w:rFonts w:hint="eastAsia"/>
        </w:rPr>
        <w:t>the</w:t>
      </w:r>
      <w:r w:rsidR="0075423C">
        <w:rPr>
          <w:rFonts w:hint="eastAsia"/>
        </w:rPr>
        <w:t>は持っている。</w:t>
      </w:r>
    </w:p>
    <w:p w:rsidR="0075423C" w:rsidRDefault="0075423C" w:rsidP="00CA764D">
      <w:pPr>
        <w:ind w:firstLineChars="100" w:firstLine="210"/>
        <w:rPr>
          <w:rFonts w:hint="eastAsia"/>
        </w:rPr>
      </w:pPr>
    </w:p>
    <w:p w:rsidR="0075423C" w:rsidRDefault="00AE5B13" w:rsidP="0071508E">
      <w:pPr>
        <w:ind w:firstLineChars="100" w:firstLine="211"/>
        <w:rPr>
          <w:rFonts w:hint="eastAsia"/>
        </w:rPr>
      </w:pPr>
      <w:r w:rsidRPr="0071508E">
        <w:rPr>
          <w:b/>
        </w:rPr>
        <w:t>皆さんじっくりと考えて頂きたいが、私の答えは</w:t>
      </w:r>
      <w:r>
        <w:t>：「それぞれが、</w:t>
      </w:r>
      <w:r>
        <w:t>moral responsibility,</w:t>
      </w:r>
      <w:r>
        <w:rPr>
          <w:rFonts w:hint="eastAsia"/>
        </w:rPr>
        <w:t xml:space="preserve"> a greater sense of responsibility for the common good, consciousness, faith, dignity, or rights</w:t>
      </w:r>
      <w:r>
        <w:rPr>
          <w:rFonts w:hint="eastAsia"/>
        </w:rPr>
        <w:t>をもつ人々」</w:t>
      </w:r>
      <w:r w:rsidR="00393BDC">
        <w:rPr>
          <w:rFonts w:hint="eastAsia"/>
        </w:rPr>
        <w:t>あるいは</w:t>
      </w:r>
      <w:r>
        <w:rPr>
          <w:rFonts w:hint="eastAsia"/>
        </w:rPr>
        <w:t>「</w:t>
      </w:r>
      <w:r>
        <w:rPr>
          <w:rFonts w:hint="eastAsia"/>
        </w:rPr>
        <w:t>righteousness</w:t>
      </w:r>
      <w:r>
        <w:rPr>
          <w:rFonts w:hint="eastAsia"/>
        </w:rPr>
        <w:t>および</w:t>
      </w:r>
      <w:r>
        <w:rPr>
          <w:rFonts w:hint="eastAsia"/>
        </w:rPr>
        <w:t>sin</w:t>
      </w:r>
      <w:r>
        <w:rPr>
          <w:rFonts w:hint="eastAsia"/>
        </w:rPr>
        <w:t>を</w:t>
      </w:r>
      <w:r w:rsidR="0071508E">
        <w:rPr>
          <w:rFonts w:hint="eastAsia"/>
        </w:rPr>
        <w:t>判ずる力を持った人々」というもの。</w:t>
      </w:r>
      <w:r w:rsidR="00393BDC">
        <w:rPr>
          <w:rFonts w:hint="eastAsia"/>
        </w:rPr>
        <w:t>そういう</w:t>
      </w:r>
      <w:r w:rsidR="00393BDC">
        <w:rPr>
          <w:rFonts w:hint="eastAsia"/>
        </w:rPr>
        <w:t>norm</w:t>
      </w:r>
      <w:r w:rsidR="00393BDC">
        <w:rPr>
          <w:rFonts w:hint="eastAsia"/>
        </w:rPr>
        <w:t>（規範）を持つ</w:t>
      </w:r>
      <w:r w:rsidR="00393BDC">
        <w:rPr>
          <w:rFonts w:hint="eastAsia"/>
        </w:rPr>
        <w:t>people</w:t>
      </w:r>
      <w:r w:rsidR="00393BDC">
        <w:rPr>
          <w:rFonts w:hint="eastAsia"/>
        </w:rPr>
        <w:t>だけが民主主義や主権を許される。</w:t>
      </w:r>
    </w:p>
    <w:p w:rsidR="00AE5B13" w:rsidRDefault="0071508E" w:rsidP="00CA764D">
      <w:pPr>
        <w:ind w:firstLineChars="100" w:firstLine="210"/>
        <w:rPr>
          <w:rFonts w:hint="eastAsia"/>
        </w:rPr>
      </w:pPr>
      <w:r>
        <w:rPr>
          <w:rFonts w:hint="eastAsia"/>
        </w:rPr>
        <w:t>各自、各自なりの言葉で、考えて頂きたい。そして、我々日本人は果たしてそれを持っているのか、考えて頂きたい。</w:t>
      </w:r>
      <w:r w:rsidR="00393BDC">
        <w:rPr>
          <w:rFonts w:hint="eastAsia"/>
        </w:rPr>
        <w:t>民主主義や主権を</w:t>
      </w:r>
      <w:r w:rsidR="00393BDC">
        <w:rPr>
          <w:rFonts w:hint="eastAsia"/>
        </w:rPr>
        <w:t>持てるのか考えて頂きたい。</w:t>
      </w:r>
    </w:p>
    <w:p w:rsidR="0071508E" w:rsidRDefault="0071508E" w:rsidP="00CA764D">
      <w:pPr>
        <w:ind w:firstLineChars="100" w:firstLine="210"/>
        <w:rPr>
          <w:rFonts w:hint="eastAsia"/>
        </w:rPr>
      </w:pPr>
    </w:p>
    <w:p w:rsidR="0071508E" w:rsidRDefault="0071508E" w:rsidP="0071508E">
      <w:pPr>
        <w:ind w:firstLineChars="100" w:firstLine="210"/>
        <w:jc w:val="right"/>
        <w:rPr>
          <w:rFonts w:hint="eastAsia"/>
        </w:rPr>
      </w:pPr>
      <w:r>
        <w:rPr>
          <w:rFonts w:hint="eastAsia"/>
        </w:rPr>
        <w:t>今週は以上。来週も請うご期待。</w:t>
      </w:r>
    </w:p>
    <w:sectPr w:rsidR="0071508E">
      <w:foot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599" w:rsidRDefault="00584599" w:rsidP="005410A9">
      <w:r>
        <w:separator/>
      </w:r>
    </w:p>
  </w:endnote>
  <w:endnote w:type="continuationSeparator" w:id="0">
    <w:p w:rsidR="00584599" w:rsidRDefault="00584599" w:rsidP="0054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308779"/>
      <w:docPartObj>
        <w:docPartGallery w:val="Page Numbers (Bottom of Page)"/>
        <w:docPartUnique/>
      </w:docPartObj>
    </w:sdtPr>
    <w:sdtContent>
      <w:p w:rsidR="0071508E" w:rsidRDefault="0071508E">
        <w:pPr>
          <w:pStyle w:val="a9"/>
          <w:jc w:val="center"/>
        </w:pPr>
        <w:r>
          <w:fldChar w:fldCharType="begin"/>
        </w:r>
        <w:r>
          <w:instrText>PAGE   \* MERGEFORMAT</w:instrText>
        </w:r>
        <w:r>
          <w:fldChar w:fldCharType="separate"/>
        </w:r>
        <w:r w:rsidR="00B876D1" w:rsidRPr="00B876D1">
          <w:rPr>
            <w:noProof/>
            <w:lang w:val="ja-JP"/>
          </w:rPr>
          <w:t>2</w:t>
        </w:r>
        <w:r>
          <w:fldChar w:fldCharType="end"/>
        </w:r>
      </w:p>
    </w:sdtContent>
  </w:sdt>
  <w:p w:rsidR="0071508E" w:rsidRDefault="0071508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599" w:rsidRDefault="00584599" w:rsidP="005410A9">
      <w:r>
        <w:separator/>
      </w:r>
    </w:p>
  </w:footnote>
  <w:footnote w:type="continuationSeparator" w:id="0">
    <w:p w:rsidR="00584599" w:rsidRDefault="00584599" w:rsidP="005410A9">
      <w:r>
        <w:continuationSeparator/>
      </w:r>
    </w:p>
  </w:footnote>
  <w:footnote w:id="1">
    <w:p w:rsidR="005410A9" w:rsidRDefault="005410A9">
      <w:pPr>
        <w:pStyle w:val="a4"/>
        <w:rPr>
          <w:rFonts w:hint="eastAsia"/>
        </w:rPr>
      </w:pPr>
      <w:r>
        <w:rPr>
          <w:rStyle w:val="a6"/>
        </w:rPr>
        <w:footnoteRef/>
      </w:r>
      <w:r>
        <w:t xml:space="preserve"> </w:t>
      </w:r>
      <w:r>
        <w:rPr>
          <w:rFonts w:hint="eastAsia"/>
        </w:rPr>
        <w:t>訳本は無い。和訳すれば『</w:t>
      </w:r>
      <w:r>
        <w:rPr>
          <w:rFonts w:hint="eastAsia"/>
        </w:rPr>
        <w:t>the people</w:t>
      </w:r>
      <w:r>
        <w:rPr>
          <w:rFonts w:hint="eastAsia"/>
        </w:rPr>
        <w:t>の発明：米英における</w:t>
      </w:r>
      <w:r>
        <w:rPr>
          <w:rFonts w:hint="eastAsia"/>
        </w:rPr>
        <w:t>popular sovereignty</w:t>
      </w:r>
      <w:r>
        <w:rPr>
          <w:rFonts w:hint="eastAsia"/>
        </w:rPr>
        <w:t>の勃興』。</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2B"/>
    <w:rsid w:val="0006715D"/>
    <w:rsid w:val="001C5199"/>
    <w:rsid w:val="00265266"/>
    <w:rsid w:val="00393BDC"/>
    <w:rsid w:val="005410A9"/>
    <w:rsid w:val="00573F3C"/>
    <w:rsid w:val="00584599"/>
    <w:rsid w:val="00651E2B"/>
    <w:rsid w:val="0071508E"/>
    <w:rsid w:val="0075423C"/>
    <w:rsid w:val="008F0CAA"/>
    <w:rsid w:val="009274E4"/>
    <w:rsid w:val="00AE5B13"/>
    <w:rsid w:val="00B1431E"/>
    <w:rsid w:val="00B4196E"/>
    <w:rsid w:val="00B876D1"/>
    <w:rsid w:val="00C85901"/>
    <w:rsid w:val="00CA764D"/>
    <w:rsid w:val="00E16FA3"/>
    <w:rsid w:val="00E6466E"/>
    <w:rsid w:val="00F57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9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431E"/>
    <w:rPr>
      <w:color w:val="0000FF" w:themeColor="hyperlink"/>
      <w:u w:val="single"/>
    </w:rPr>
  </w:style>
  <w:style w:type="paragraph" w:styleId="a4">
    <w:name w:val="footnote text"/>
    <w:basedOn w:val="a"/>
    <w:link w:val="a5"/>
    <w:uiPriority w:val="99"/>
    <w:semiHidden/>
    <w:unhideWhenUsed/>
    <w:rsid w:val="005410A9"/>
    <w:pPr>
      <w:snapToGrid w:val="0"/>
      <w:jc w:val="left"/>
    </w:pPr>
  </w:style>
  <w:style w:type="character" w:customStyle="1" w:styleId="a5">
    <w:name w:val="脚注文字列 (文字)"/>
    <w:basedOn w:val="a0"/>
    <w:link w:val="a4"/>
    <w:uiPriority w:val="99"/>
    <w:semiHidden/>
    <w:rsid w:val="005410A9"/>
  </w:style>
  <w:style w:type="character" w:styleId="a6">
    <w:name w:val="footnote reference"/>
    <w:basedOn w:val="a0"/>
    <w:uiPriority w:val="99"/>
    <w:semiHidden/>
    <w:unhideWhenUsed/>
    <w:rsid w:val="005410A9"/>
    <w:rPr>
      <w:vertAlign w:val="superscript"/>
    </w:rPr>
  </w:style>
  <w:style w:type="paragraph" w:styleId="a7">
    <w:name w:val="header"/>
    <w:basedOn w:val="a"/>
    <w:link w:val="a8"/>
    <w:uiPriority w:val="99"/>
    <w:unhideWhenUsed/>
    <w:rsid w:val="0071508E"/>
    <w:pPr>
      <w:tabs>
        <w:tab w:val="center" w:pos="4252"/>
        <w:tab w:val="right" w:pos="8504"/>
      </w:tabs>
      <w:snapToGrid w:val="0"/>
    </w:pPr>
  </w:style>
  <w:style w:type="character" w:customStyle="1" w:styleId="a8">
    <w:name w:val="ヘッダー (文字)"/>
    <w:basedOn w:val="a0"/>
    <w:link w:val="a7"/>
    <w:uiPriority w:val="99"/>
    <w:rsid w:val="0071508E"/>
  </w:style>
  <w:style w:type="paragraph" w:styleId="a9">
    <w:name w:val="footer"/>
    <w:basedOn w:val="a"/>
    <w:link w:val="aa"/>
    <w:uiPriority w:val="99"/>
    <w:unhideWhenUsed/>
    <w:rsid w:val="0071508E"/>
    <w:pPr>
      <w:tabs>
        <w:tab w:val="center" w:pos="4252"/>
        <w:tab w:val="right" w:pos="8504"/>
      </w:tabs>
      <w:snapToGrid w:val="0"/>
    </w:pPr>
  </w:style>
  <w:style w:type="character" w:customStyle="1" w:styleId="aa">
    <w:name w:val="フッター (文字)"/>
    <w:basedOn w:val="a0"/>
    <w:link w:val="a9"/>
    <w:uiPriority w:val="99"/>
    <w:rsid w:val="00715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9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431E"/>
    <w:rPr>
      <w:color w:val="0000FF" w:themeColor="hyperlink"/>
      <w:u w:val="single"/>
    </w:rPr>
  </w:style>
  <w:style w:type="paragraph" w:styleId="a4">
    <w:name w:val="footnote text"/>
    <w:basedOn w:val="a"/>
    <w:link w:val="a5"/>
    <w:uiPriority w:val="99"/>
    <w:semiHidden/>
    <w:unhideWhenUsed/>
    <w:rsid w:val="005410A9"/>
    <w:pPr>
      <w:snapToGrid w:val="0"/>
      <w:jc w:val="left"/>
    </w:pPr>
  </w:style>
  <w:style w:type="character" w:customStyle="1" w:styleId="a5">
    <w:name w:val="脚注文字列 (文字)"/>
    <w:basedOn w:val="a0"/>
    <w:link w:val="a4"/>
    <w:uiPriority w:val="99"/>
    <w:semiHidden/>
    <w:rsid w:val="005410A9"/>
  </w:style>
  <w:style w:type="character" w:styleId="a6">
    <w:name w:val="footnote reference"/>
    <w:basedOn w:val="a0"/>
    <w:uiPriority w:val="99"/>
    <w:semiHidden/>
    <w:unhideWhenUsed/>
    <w:rsid w:val="005410A9"/>
    <w:rPr>
      <w:vertAlign w:val="superscript"/>
    </w:rPr>
  </w:style>
  <w:style w:type="paragraph" w:styleId="a7">
    <w:name w:val="header"/>
    <w:basedOn w:val="a"/>
    <w:link w:val="a8"/>
    <w:uiPriority w:val="99"/>
    <w:unhideWhenUsed/>
    <w:rsid w:val="0071508E"/>
    <w:pPr>
      <w:tabs>
        <w:tab w:val="center" w:pos="4252"/>
        <w:tab w:val="right" w:pos="8504"/>
      </w:tabs>
      <w:snapToGrid w:val="0"/>
    </w:pPr>
  </w:style>
  <w:style w:type="character" w:customStyle="1" w:styleId="a8">
    <w:name w:val="ヘッダー (文字)"/>
    <w:basedOn w:val="a0"/>
    <w:link w:val="a7"/>
    <w:uiPriority w:val="99"/>
    <w:rsid w:val="0071508E"/>
  </w:style>
  <w:style w:type="paragraph" w:styleId="a9">
    <w:name w:val="footer"/>
    <w:basedOn w:val="a"/>
    <w:link w:val="aa"/>
    <w:uiPriority w:val="99"/>
    <w:unhideWhenUsed/>
    <w:rsid w:val="0071508E"/>
    <w:pPr>
      <w:tabs>
        <w:tab w:val="center" w:pos="4252"/>
        <w:tab w:val="right" w:pos="8504"/>
      </w:tabs>
      <w:snapToGrid w:val="0"/>
    </w:pPr>
  </w:style>
  <w:style w:type="character" w:customStyle="1" w:styleId="aa">
    <w:name w:val="フッター (文字)"/>
    <w:basedOn w:val="a0"/>
    <w:link w:val="a9"/>
    <w:uiPriority w:val="99"/>
    <w:rsid w:val="00715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c.ip.rcast.u-tokyo.ac.jp/Column%20hobo-shuukan/2014/20141003%20W113%20economic%20substance%20without%20profit/shiryou/evolution%20history%20of%20US%20partnership%20taxation%20rev8.ppt" TargetMode="External"/><Relationship Id="rId13" Type="http://schemas.openxmlformats.org/officeDocument/2006/relationships/hyperlink" Target="http://www.amazon.com/Power-Religion-Public-Sphere-Columbia/dp/0231156464/ref=sr_1_sc_1?s=books&amp;ie=UTF8&amp;qid=1452232337&amp;sr=1-1-spell&amp;keywords=The+Poser+of+Religion+in+The+Public+Spher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mazon.com/Inventing-People-Popular-Sovereignty-England/dp/0393306232/ref=sr_1_1?s=books&amp;ie=UTF8&amp;qid=1452231500&amp;sr=1-1&amp;keywords=Inventing+the+People%3A+The+Rise+of+Popular+Sovereignty+in+England+and+Ameri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gp/product/B00A7JXOY8?psc=1&amp;redirect=true&amp;ref_=oh_aui_detailpage_o00_s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lc.ip.rcast.u-tokyo.ac.jp/Column%20hobo-shuukan/2015/20151218%20W169%20%20sovereignty/20151218%20W169%20%20sovereignty%20rev1.docx" TargetMode="External"/><Relationship Id="rId4" Type="http://schemas.openxmlformats.org/officeDocument/2006/relationships/settings" Target="settings.xml"/><Relationship Id="rId9" Type="http://schemas.openxmlformats.org/officeDocument/2006/relationships/hyperlink" Target="http://www.amazon.co.jp/%E7%AB%B9%E5%B1%8B%E3%83%8E%E6%B8%A1-%E5%B1%85%E7%9C%A0%E3%82%8A%E7%A3%90%E9%9F%B3%E6%B1%9F%E6%88%B8%E5%8F%8C%E7%B4%99-50-%E5%8F%8C%E8%91%89%E6%96%87%E5%BA%AB-%E4%BD%90%E4%BC%AF-%E6%B3%B0%E8%8B%B1/dp/4575667587/ref=sr_1_1?ie=UTF8&amp;qid=1452232642&amp;sr=8-1&amp;keywords=%E5%B1%85%E7%9C%A0%E3%82%8A%E7%A3%90%E9%9F%B3%28%E3%81%84%E3%82%8F%E3%81%AD%29+%E6%B1%9F%E6%88%B8%E5%8F%8C%E7%B4%99+50+%E7%AB%B9%E5%B1%8B%E3%83%8E%E6%B8%A1%28%E3%82%8F%E3%81%9F%E3%81%97%29" TargetMode="External"/><Relationship Id="rId14" Type="http://schemas.openxmlformats.org/officeDocument/2006/relationships/hyperlink" Target="http://www.amazon.com/Structural-Transformation-Public-Sphere-Contemporary/dp/0262581086/ref=sr_1_1?s=books&amp;ie=UTF8&amp;qid=1452231975&amp;sr=1-1&amp;keywords=structural+transformation+of+the+public+spher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13383-B876-458E-8765-73D33E03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Pages>
  <Words>516</Words>
  <Characters>2947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5</cp:revision>
  <dcterms:created xsi:type="dcterms:W3CDTF">2016-01-08T02:18:00Z</dcterms:created>
  <dcterms:modified xsi:type="dcterms:W3CDTF">2016-01-08T06:27:00Z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